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E" w:rsidRDefault="003F0302" w:rsidP="00F97639">
      <w:pPr>
        <w:ind w:left="284"/>
        <w:jc w:val="center"/>
        <w:rPr>
          <w:sz w:val="28"/>
          <w:szCs w:val="28"/>
        </w:rPr>
      </w:pPr>
      <w:r w:rsidRPr="001269DE">
        <w:rPr>
          <w:sz w:val="28"/>
          <w:szCs w:val="28"/>
        </w:rPr>
        <w:t xml:space="preserve">Для </w:t>
      </w:r>
      <w:r w:rsidR="0039586E" w:rsidRPr="001269DE">
        <w:rPr>
          <w:sz w:val="28"/>
          <w:szCs w:val="28"/>
        </w:rPr>
        <w:t xml:space="preserve">включения в кадровый резерв для </w:t>
      </w:r>
      <w:r w:rsidRPr="001269DE">
        <w:rPr>
          <w:sz w:val="28"/>
          <w:szCs w:val="28"/>
        </w:rPr>
        <w:t xml:space="preserve">замещения вакантных должностей государственной гражданской службы </w:t>
      </w:r>
    </w:p>
    <w:p w:rsidR="005E6E3B" w:rsidRPr="001269DE" w:rsidRDefault="0027123D" w:rsidP="00F97639">
      <w:pPr>
        <w:ind w:left="284"/>
        <w:jc w:val="center"/>
        <w:rPr>
          <w:sz w:val="28"/>
          <w:szCs w:val="28"/>
        </w:rPr>
      </w:pPr>
      <w:r w:rsidRPr="001269DE">
        <w:rPr>
          <w:sz w:val="28"/>
          <w:szCs w:val="28"/>
        </w:rPr>
        <w:t>ведущей</w:t>
      </w:r>
      <w:r w:rsidR="003F0302" w:rsidRPr="001269DE">
        <w:rPr>
          <w:sz w:val="28"/>
          <w:szCs w:val="28"/>
        </w:rPr>
        <w:t xml:space="preserve"> группы должностей</w:t>
      </w:r>
    </w:p>
    <w:p w:rsidR="003F0302" w:rsidRPr="001269DE" w:rsidRDefault="003F0302" w:rsidP="00F97639">
      <w:pPr>
        <w:ind w:left="284"/>
        <w:jc w:val="center"/>
        <w:rPr>
          <w:b/>
          <w:sz w:val="28"/>
          <w:szCs w:val="28"/>
        </w:rPr>
      </w:pPr>
      <w:r w:rsidRPr="001269DE">
        <w:rPr>
          <w:b/>
          <w:sz w:val="28"/>
          <w:szCs w:val="28"/>
        </w:rPr>
        <w:t>в отделе контроля и надзора в сфере связи:</w:t>
      </w:r>
    </w:p>
    <w:p w:rsidR="003F0302" w:rsidRPr="003F0302" w:rsidRDefault="003F0302" w:rsidP="00F97639">
      <w:pPr>
        <w:ind w:left="284"/>
        <w:jc w:val="center"/>
        <w:rPr>
          <w:sz w:val="32"/>
          <w:szCs w:val="32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904"/>
        <w:gridCol w:w="2126"/>
        <w:gridCol w:w="2268"/>
        <w:gridCol w:w="3827"/>
        <w:gridCol w:w="3828"/>
        <w:gridCol w:w="709"/>
        <w:gridCol w:w="708"/>
      </w:tblGrid>
      <w:tr w:rsidR="00073B29" w:rsidRPr="006E1B7B" w:rsidTr="00345440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828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747B95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345440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828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345440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E771B5">
        <w:trPr>
          <w:trHeight w:val="2967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Pr="001879B0" w:rsidRDefault="00780797" w:rsidP="003F0302">
            <w:pPr>
              <w:rPr>
                <w:bCs/>
              </w:rPr>
            </w:pPr>
            <w:r>
              <w:rPr>
                <w:bCs/>
              </w:rPr>
              <w:t xml:space="preserve">контроля </w:t>
            </w:r>
            <w:r w:rsidR="003F0302">
              <w:rPr>
                <w:bCs/>
              </w:rPr>
              <w:t xml:space="preserve">и </w:t>
            </w:r>
            <w:r>
              <w:rPr>
                <w:bCs/>
              </w:rPr>
              <w:t>надзора в сфере связи</w:t>
            </w:r>
          </w:p>
        </w:tc>
        <w:tc>
          <w:tcPr>
            <w:tcW w:w="2126" w:type="dxa"/>
          </w:tcPr>
          <w:p w:rsidR="00467A5F" w:rsidRDefault="003F030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E036A9">
              <w:rPr>
                <w:bCs/>
              </w:rPr>
              <w:t>Руководители</w:t>
            </w:r>
            <w:r>
              <w:rPr>
                <w:bCs/>
              </w:rPr>
              <w:t>»</w:t>
            </w:r>
            <w:r w:rsidR="00E036A9">
              <w:rPr>
                <w:bCs/>
              </w:rPr>
              <w:t xml:space="preserve"> ведущая группа</w:t>
            </w:r>
            <w:r w:rsidR="00467A5F" w:rsidRPr="001879B0">
              <w:rPr>
                <w:bCs/>
              </w:rPr>
              <w:t xml:space="preserve"> должностей</w:t>
            </w: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Default="005B4233" w:rsidP="005B4233">
            <w:pPr>
              <w:jc w:val="center"/>
              <w:rPr>
                <w:bCs/>
              </w:rPr>
            </w:pPr>
          </w:p>
          <w:p w:rsidR="005B4233" w:rsidRPr="001879B0" w:rsidRDefault="005B4233" w:rsidP="005B4233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  <w:p w:rsidR="005B4233" w:rsidRDefault="005B4233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  <w:p w:rsidR="005B4233" w:rsidRPr="001879B0" w:rsidRDefault="005B4233" w:rsidP="003F0302">
            <w:pPr>
              <w:ind w:left="3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7441A9" w:rsidRPr="007D343F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0E4EB2">
              <w:rPr>
                <w:rFonts w:eastAsia="Calibri"/>
                <w:lang w:eastAsia="en-US"/>
              </w:rPr>
              <w:t>Н</w:t>
            </w:r>
            <w:r w:rsidR="007441A9" w:rsidRPr="000E4EB2">
              <w:rPr>
                <w:rFonts w:eastAsia="Calibri"/>
                <w:lang w:eastAsia="en-US"/>
              </w:rPr>
              <w:t>аправлени</w:t>
            </w:r>
            <w:r w:rsidRPr="000E4EB2">
              <w:rPr>
                <w:rFonts w:eastAsia="Calibri"/>
                <w:lang w:eastAsia="en-US"/>
              </w:rPr>
              <w:t>е</w:t>
            </w:r>
            <w:r w:rsidR="007441A9" w:rsidRPr="000E4EB2">
              <w:rPr>
                <w:rFonts w:eastAsia="Calibri"/>
                <w:lang w:eastAsia="en-US"/>
              </w:rPr>
              <w:t xml:space="preserve"> подготовки</w:t>
            </w:r>
            <w:r w:rsidRPr="000E4EB2">
              <w:rPr>
                <w:rFonts w:eastAsia="Calibri"/>
                <w:lang w:eastAsia="en-US"/>
              </w:rPr>
              <w:t>:</w:t>
            </w:r>
            <w:r w:rsidR="00132B00" w:rsidRPr="000E4EB2">
              <w:rPr>
                <w:rFonts w:eastAsia="Calibri"/>
                <w:lang w:eastAsia="en-US"/>
              </w:rPr>
              <w:t xml:space="preserve"> </w:t>
            </w:r>
            <w:r w:rsidR="00E95D13">
              <w:rPr>
                <w:rFonts w:eastAsia="Calibri"/>
                <w:lang w:eastAsia="en-US"/>
              </w:rPr>
              <w:t xml:space="preserve">предпочтительно </w:t>
            </w:r>
            <w:r w:rsidR="003F0302" w:rsidRPr="003F0302">
              <w:rPr>
                <w:rFonts w:eastAsia="Calibri"/>
                <w:lang w:eastAsia="en-US"/>
              </w:rPr>
      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</w:t>
            </w:r>
            <w:r w:rsidR="003F0302">
              <w:rPr>
                <w:rFonts w:eastAsia="Calibri"/>
                <w:lang w:eastAsia="en-US"/>
              </w:rPr>
              <w:t xml:space="preserve">очтовая связь», </w:t>
            </w:r>
            <w:r w:rsidR="003F0302" w:rsidRPr="003F0302">
              <w:rPr>
                <w:rFonts w:eastAsia="Calibri"/>
                <w:lang w:eastAsia="en-US"/>
              </w:rPr>
              <w:t>«Радиоэлектронные системы», «Радиофизика», «Прикладные математика и физика», «Физика», «Юриспруденция»,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</w:t>
            </w:r>
            <w:r w:rsidR="003F0302">
              <w:rPr>
                <w:rFonts w:eastAsia="Calibri"/>
                <w:lang w:eastAsia="en-US"/>
              </w:rPr>
              <w:t>».</w:t>
            </w:r>
            <w:proofErr w:type="gramEnd"/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="00747B95">
              <w:rPr>
                <w:rFonts w:eastAsia="Calibri"/>
                <w:b/>
                <w:lang w:eastAsia="en-US"/>
              </w:rPr>
              <w:t>*</w:t>
            </w:r>
            <w:r w:rsidRPr="000E4EB2">
              <w:rPr>
                <w:rFonts w:eastAsia="Calibri"/>
                <w:b/>
                <w:lang w:eastAsia="en-US"/>
              </w:rPr>
              <w:t>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-действующего законодательства Российской Федерации и локальных актов </w:t>
            </w:r>
            <w:proofErr w:type="spellStart"/>
            <w:r w:rsidRPr="000E4EB2">
              <w:rPr>
                <w:bCs/>
              </w:rPr>
              <w:t>Роскомнадзора</w:t>
            </w:r>
            <w:proofErr w:type="spellEnd"/>
            <w:r w:rsidRPr="000E4EB2">
              <w:rPr>
                <w:bCs/>
              </w:rPr>
              <w:t xml:space="preserve">, </w:t>
            </w:r>
            <w:r w:rsidRPr="000E4EB2">
              <w:rPr>
                <w:bCs/>
              </w:rPr>
              <w:lastRenderedPageBreak/>
              <w:t>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 xml:space="preserve">знание возможностей и особенностей </w:t>
            </w:r>
            <w:proofErr w:type="gramStart"/>
            <w:r w:rsidR="00450B35" w:rsidRPr="000E4EB2">
              <w:t>применения</w:t>
            </w:r>
            <w:proofErr w:type="gramEnd"/>
            <w:r w:rsidR="00450B35" w:rsidRPr="000E4EB2">
              <w:t xml:space="preserve"> современных информационно-коммуникационных технологий в 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-аппаратного и программного 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9B6962" w:rsidRPr="000E4EB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0E4EB2"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3F0302" w:rsidRPr="000E4EB2" w:rsidRDefault="003F0302" w:rsidP="00D5095F">
            <w:pPr>
              <w:ind w:firstLine="33"/>
              <w:jc w:val="both"/>
            </w:pPr>
            <w:r>
              <w:t>-знание основных принципов осуществления контроля и надзора в сфере связи;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E036A9" w:rsidRPr="00E036A9" w:rsidRDefault="003F0302" w:rsidP="00E036A9">
            <w:pPr>
              <w:tabs>
                <w:tab w:val="left" w:pos="149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E036A9">
              <w:rPr>
                <w:bCs/>
              </w:rPr>
              <w:t>деловых писем;</w:t>
            </w:r>
          </w:p>
          <w:p w:rsidR="00E036A9" w:rsidRDefault="00E036A9" w:rsidP="00E036A9">
            <w:pPr>
              <w:pStyle w:val="a7"/>
              <w:widowControl w:val="0"/>
              <w:autoSpaceDE w:val="0"/>
              <w:autoSpaceDN w:val="0"/>
              <w:ind w:left="0"/>
              <w:jc w:val="both"/>
            </w:pPr>
            <w:r>
              <w:t>-</w:t>
            </w:r>
            <w:r w:rsidRPr="003A1ADC">
              <w:t>знание основ организаторской работы;</w:t>
            </w:r>
          </w:p>
          <w:p w:rsidR="00EC3B4E" w:rsidRPr="00E036A9" w:rsidRDefault="00E036A9" w:rsidP="00E036A9">
            <w:pPr>
              <w:pStyle w:val="a7"/>
              <w:widowControl w:val="0"/>
              <w:autoSpaceDE w:val="0"/>
              <w:autoSpaceDN w:val="0"/>
              <w:ind w:left="0"/>
              <w:jc w:val="both"/>
            </w:pPr>
            <w:r>
              <w:t>-</w:t>
            </w:r>
            <w:r w:rsidRPr="003A1ADC">
              <w:t>знания основ информационной безопасности и защиты</w:t>
            </w:r>
            <w:r>
              <w:t xml:space="preserve"> информации.</w:t>
            </w:r>
          </w:p>
        </w:tc>
        <w:tc>
          <w:tcPr>
            <w:tcW w:w="3828" w:type="dxa"/>
          </w:tcPr>
          <w:p w:rsidR="00B03B2D" w:rsidRPr="001F3F2F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 xml:space="preserve">ельности </w:t>
            </w:r>
            <w:r w:rsidRPr="001F3F2F">
              <w:rPr>
                <w:rFonts w:ascii="Times New Roman" w:hAnsi="Times New Roman" w:cs="Times New Roman"/>
                <w:sz w:val="22"/>
                <w:szCs w:val="22"/>
              </w:rPr>
              <w:t>гражданского служащего</w:t>
            </w:r>
            <w:r w:rsidR="005F60DB" w:rsidRPr="001F3F2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1.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proofErr w:type="gramStart"/>
            <w:r w:rsidRPr="004262D5">
              <w:rPr>
                <w:rFonts w:ascii="Times New Roman" w:hAnsi="Times New Roman" w:cs="Times New Roman"/>
                <w:bCs/>
              </w:rPr>
              <w:t xml:space="preserve">Осуществление надзора и контроля в сфере связи, который включает в себя надзор и контроль за соблюдением юридическими лицами, индивидуальными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4262D5">
              <w:rPr>
                <w:rFonts w:ascii="Times New Roman" w:hAnsi="Times New Roman" w:cs="Times New Roman"/>
                <w:bCs/>
              </w:rPr>
              <w:t>редпринимателями и физическими лицами обязательных требований и норм, установленных нормативными правовыми актами в области связи, а также контроль за исполнением законодательства Российской Федерации о лицензировании в области связи на территории Мурманской области, в том числе:</w:t>
            </w:r>
            <w:proofErr w:type="gramEnd"/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лицензионных условий, установленных в лицензиях на осуществлен</w:t>
            </w:r>
            <w:r>
              <w:rPr>
                <w:rFonts w:ascii="Times New Roman" w:hAnsi="Times New Roman" w:cs="Times New Roman"/>
                <w:bCs/>
              </w:rPr>
              <w:t>ие деятельности в области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требований к построению сетей электросвязи и почтовой связи, требований по проектированию, строительству, реконструкции и эксплу</w:t>
            </w:r>
            <w:r>
              <w:rPr>
                <w:rFonts w:ascii="Times New Roman" w:hAnsi="Times New Roman" w:cs="Times New Roman"/>
                <w:bCs/>
              </w:rPr>
              <w:t>атации сетей и сооружений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операторами св</w:t>
            </w:r>
            <w:r>
              <w:rPr>
                <w:rFonts w:ascii="Times New Roman" w:hAnsi="Times New Roman" w:cs="Times New Roman"/>
                <w:bCs/>
              </w:rPr>
              <w:t>язи правил оказания услуг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lastRenderedPageBreak/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выполнением требований по защите сетей от несанкционированног</w:t>
            </w:r>
            <w:r>
              <w:rPr>
                <w:rFonts w:ascii="Times New Roman" w:hAnsi="Times New Roman" w:cs="Times New Roman"/>
                <w:bCs/>
              </w:rPr>
              <w:t>о доступа;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 xml:space="preserve">а использованием на сети связи общего пользования и технологических сетях связи (в случаях их присоединения к </w:t>
            </w:r>
            <w:proofErr w:type="spellStart"/>
            <w:r w:rsidRPr="004262D5">
              <w:rPr>
                <w:rFonts w:ascii="Times New Roman" w:hAnsi="Times New Roman" w:cs="Times New Roman"/>
                <w:bCs/>
              </w:rPr>
              <w:t>ТфОП</w:t>
            </w:r>
            <w:proofErr w:type="spellEnd"/>
            <w:r w:rsidRPr="004262D5">
              <w:rPr>
                <w:rFonts w:ascii="Times New Roman" w:hAnsi="Times New Roman" w:cs="Times New Roman"/>
                <w:bCs/>
              </w:rPr>
              <w:t>) сре</w:t>
            </w:r>
            <w:proofErr w:type="gramStart"/>
            <w:r w:rsidRPr="004262D5">
              <w:rPr>
                <w:rFonts w:ascii="Times New Roman" w:hAnsi="Times New Roman" w:cs="Times New Roman"/>
                <w:bCs/>
              </w:rPr>
              <w:t>дств св</w:t>
            </w:r>
            <w:proofErr w:type="gramEnd"/>
            <w:r w:rsidRPr="004262D5">
              <w:rPr>
                <w:rFonts w:ascii="Times New Roman" w:hAnsi="Times New Roman" w:cs="Times New Roman"/>
                <w:bCs/>
              </w:rPr>
              <w:t>язи, прошедших обязательное подтверждение соответ</w:t>
            </w:r>
            <w:r>
              <w:rPr>
                <w:rFonts w:ascii="Times New Roman" w:hAnsi="Times New Roman" w:cs="Times New Roman"/>
                <w:bCs/>
              </w:rPr>
              <w:t>ствия установленным требованиям;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выполнением требований по обеспечению устойчиво</w:t>
            </w:r>
            <w:r>
              <w:rPr>
                <w:rFonts w:ascii="Times New Roman" w:hAnsi="Times New Roman" w:cs="Times New Roman"/>
                <w:bCs/>
              </w:rPr>
              <w:t>го функционирования сетей связи;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4262D5">
              <w:rPr>
                <w:rFonts w:ascii="Times New Roman" w:hAnsi="Times New Roman" w:cs="Times New Roman"/>
                <w:bCs/>
              </w:rPr>
              <w:t>ств гр</w:t>
            </w:r>
            <w:proofErr w:type="gramEnd"/>
            <w:r w:rsidRPr="004262D5">
              <w:rPr>
                <w:rFonts w:ascii="Times New Roman" w:hAnsi="Times New Roman" w:cs="Times New Roman"/>
                <w:bCs/>
              </w:rPr>
              <w:t>ажданского назнач</w:t>
            </w:r>
            <w:r>
              <w:rPr>
                <w:rFonts w:ascii="Times New Roman" w:hAnsi="Times New Roman" w:cs="Times New Roman"/>
                <w:bCs/>
              </w:rPr>
              <w:t>ения;</w:t>
            </w:r>
            <w:r w:rsidRPr="004262D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8141E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з</w:t>
            </w:r>
            <w:r w:rsidRPr="004262D5">
              <w:rPr>
                <w:rFonts w:ascii="Times New Roman" w:hAnsi="Times New Roman" w:cs="Times New Roman"/>
                <w:bCs/>
              </w:rPr>
              <w:t>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Выявление при осуществлении надзора и контроля: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н</w:t>
            </w:r>
            <w:r w:rsidRPr="004262D5">
              <w:rPr>
                <w:rFonts w:ascii="Times New Roman" w:hAnsi="Times New Roman" w:cs="Times New Roman"/>
                <w:bCs/>
              </w:rPr>
              <w:t>арушений обязательных требований в сфере связи и сбора подтверждающих эти нарушения доказательств.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ab/>
              <w:t>н</w:t>
            </w:r>
            <w:r w:rsidRPr="004262D5">
              <w:rPr>
                <w:rFonts w:ascii="Times New Roman" w:hAnsi="Times New Roman" w:cs="Times New Roman"/>
                <w:bCs/>
              </w:rPr>
              <w:t>арушений лицензионных условий и сбора, подтверждающих эти нарушения доказательств.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-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4262D5">
              <w:rPr>
                <w:rFonts w:ascii="Times New Roman" w:hAnsi="Times New Roman" w:cs="Times New Roman"/>
                <w:bCs/>
              </w:rPr>
              <w:t xml:space="preserve">ридических и физических лиц, </w:t>
            </w:r>
            <w:r w:rsidRPr="004262D5">
              <w:rPr>
                <w:rFonts w:ascii="Times New Roman" w:hAnsi="Times New Roman" w:cs="Times New Roman"/>
                <w:bCs/>
              </w:rPr>
              <w:lastRenderedPageBreak/>
              <w:t>осуществляющих деятельность по возмездному оказанию услуг связи без соответствующих лицензий.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3.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Участие в мероприятиях систематического наблюдения.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4.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Оформление по результатам государственного надзора и контроля Актов, предупреждений о приостановлении действия лицензий,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</w:t>
            </w:r>
            <w:proofErr w:type="spellStart"/>
            <w:r w:rsidRPr="004262D5">
              <w:rPr>
                <w:rFonts w:ascii="Times New Roman" w:hAnsi="Times New Roman" w:cs="Times New Roman"/>
                <w:bCs/>
              </w:rPr>
              <w:t>Роскомнадзора</w:t>
            </w:r>
            <w:proofErr w:type="spellEnd"/>
            <w:r w:rsidRPr="004262D5">
              <w:rPr>
                <w:rFonts w:ascii="Times New Roman" w:hAnsi="Times New Roman" w:cs="Times New Roman"/>
                <w:bCs/>
              </w:rPr>
              <w:t xml:space="preserve"> (ЕИС).</w:t>
            </w:r>
          </w:p>
          <w:p w:rsidR="004262D5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5.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Участие в работе приемочных комиссий по вводу в эксплуатацию сооружений связи.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262D5">
              <w:rPr>
                <w:rFonts w:ascii="Times New Roman" w:hAnsi="Times New Roman" w:cs="Times New Roman"/>
                <w:bCs/>
              </w:rPr>
              <w:t>6.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 xml:space="preserve">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Подготовка ответов на обращения. </w:t>
            </w:r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  <w:r w:rsidRPr="004262D5">
              <w:rPr>
                <w:rFonts w:ascii="Times New Roman" w:hAnsi="Times New Roman" w:cs="Times New Roman"/>
                <w:bCs/>
              </w:rPr>
              <w:tab/>
            </w:r>
            <w:proofErr w:type="gramStart"/>
            <w:r w:rsidRPr="004262D5">
              <w:rPr>
                <w:rFonts w:ascii="Times New Roman" w:hAnsi="Times New Roman" w:cs="Times New Roman"/>
                <w:bCs/>
              </w:rPr>
              <w:t>Оформление разрешений на судовые радиостанции, используемые на морских судах внутреннего плавания и судах смешанного (река-море) плавания на основании заявлений граждан Российской Федерации и заявлений Российских юридических лиц или индивидуальных предпринимателей, эксплуатирующих судно от своего имени, независимо от того, являются ли они собственниками судна или используют его на условиях аренды</w:t>
            </w:r>
            <w:r>
              <w:rPr>
                <w:rFonts w:ascii="Times New Roman" w:hAnsi="Times New Roman" w:cs="Times New Roman"/>
                <w:bCs/>
              </w:rPr>
              <w:t xml:space="preserve"> или на ином законном основании.</w:t>
            </w:r>
            <w:proofErr w:type="gramEnd"/>
          </w:p>
          <w:p w:rsidR="004262D5" w:rsidRPr="004262D5" w:rsidRDefault="004262D5" w:rsidP="004262D5">
            <w:pPr>
              <w:pStyle w:val="ConsPlusNormal"/>
              <w:tabs>
                <w:tab w:val="left" w:pos="176"/>
              </w:tabs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  <w:r w:rsidRPr="004262D5">
              <w:rPr>
                <w:rFonts w:ascii="Times New Roman" w:hAnsi="Times New Roman" w:cs="Times New Roman"/>
                <w:bCs/>
              </w:rPr>
              <w:t>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Регистрация радиоэлектронных средств и высокочастотных ус</w:t>
            </w:r>
            <w:r>
              <w:rPr>
                <w:rFonts w:ascii="Times New Roman" w:hAnsi="Times New Roman" w:cs="Times New Roman"/>
                <w:bCs/>
              </w:rPr>
              <w:t>трой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ажданского назначения.</w:t>
            </w:r>
          </w:p>
          <w:p w:rsidR="004262D5" w:rsidRPr="000E4EB2" w:rsidRDefault="004262D5" w:rsidP="004262D5">
            <w:pPr>
              <w:pStyle w:val="ConsPlusNormal"/>
              <w:widowControl/>
              <w:tabs>
                <w:tab w:val="left" w:pos="176"/>
              </w:tabs>
              <w:adjustRightInd w:val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4262D5">
              <w:rPr>
                <w:rFonts w:ascii="Times New Roman" w:hAnsi="Times New Roman" w:cs="Times New Roman"/>
                <w:bCs/>
              </w:rPr>
              <w:t>.</w:t>
            </w:r>
            <w:r w:rsidRPr="004262D5">
              <w:rPr>
                <w:rFonts w:ascii="Times New Roman" w:hAnsi="Times New Roman" w:cs="Times New Roman"/>
                <w:bCs/>
              </w:rPr>
              <w:tab/>
              <w:t>Ведение учета зарегистрированных радиоэлектронных средств и высокочастотных устрой</w:t>
            </w:r>
            <w:proofErr w:type="gramStart"/>
            <w:r w:rsidRPr="004262D5">
              <w:rPr>
                <w:rFonts w:ascii="Times New Roman" w:hAnsi="Times New Roman" w:cs="Times New Roman"/>
                <w:bCs/>
              </w:rPr>
              <w:t>ств гр</w:t>
            </w:r>
            <w:proofErr w:type="gramEnd"/>
            <w:r w:rsidRPr="004262D5">
              <w:rPr>
                <w:rFonts w:ascii="Times New Roman" w:hAnsi="Times New Roman" w:cs="Times New Roman"/>
                <w:bCs/>
              </w:rPr>
              <w:t>ажданского назначения, а также выданных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  <w:r w:rsidRPr="004262D5">
              <w:rPr>
                <w:bCs/>
              </w:rPr>
              <w:t xml:space="preserve">  </w:t>
            </w:r>
          </w:p>
        </w:tc>
        <w:tc>
          <w:tcPr>
            <w:tcW w:w="709" w:type="dxa"/>
          </w:tcPr>
          <w:p w:rsidR="00467A5F" w:rsidRPr="00747B95" w:rsidRDefault="00E036A9" w:rsidP="00E036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708" w:type="dxa"/>
          </w:tcPr>
          <w:p w:rsidR="00467A5F" w:rsidRPr="00747B95" w:rsidRDefault="00E036A9" w:rsidP="00E036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A0BE2" w:rsidRPr="0038141E" w:rsidRDefault="003A0BE2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t xml:space="preserve">*Ежемесячное денежное содержание федерального гражданского служащего состоит </w:t>
      </w:r>
      <w:proofErr w:type="gramStart"/>
      <w:r w:rsidRPr="0038141E">
        <w:rPr>
          <w:b/>
          <w:i/>
          <w:sz w:val="26"/>
          <w:szCs w:val="26"/>
        </w:rPr>
        <w:t>из</w:t>
      </w:r>
      <w:proofErr w:type="gramEnd"/>
      <w:r w:rsidRPr="0038141E">
        <w:rPr>
          <w:b/>
          <w:i/>
          <w:sz w:val="26"/>
          <w:szCs w:val="26"/>
        </w:rPr>
        <w:t>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065FDE" w:rsidRPr="0038141E" w:rsidRDefault="00747B95" w:rsidP="005B706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**</w:t>
      </w:r>
      <w:r w:rsidR="00065FDE" w:rsidRPr="0038141E">
        <w:rPr>
          <w:b/>
          <w:i/>
          <w:sz w:val="26"/>
          <w:szCs w:val="26"/>
        </w:rPr>
        <w:t xml:space="preserve">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Кодекс Российской Федерации об административных правонарушениях;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Федеральный закон от 17.07.1999 № 176-ФЗ «О почтовой связи»;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Федеральный закон от 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Федеральный закон от 07.07.2003 № 126-ФЗ «О связи»;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Федеральный закон от 26.06.2008 № 102-ФЗ «Об обеспечении единства измерений»;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Федеральный закон от 29.12.2010 № 436-ФЗ «О защите детей от информации, причиняющей вред их здоровью и развитию»; 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lastRenderedPageBreak/>
        <w:t xml:space="preserve">Федеральный закон от 04.05.2011 № 99-ФЗ «О лицензировании отдельных видов деятельности»; 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Федеральный Закон от 31.07.2020 № 247-ФЗ «Об обязательных требованиях в Российской Федерации»;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Федеральный закон от 31.07.2020 № 248-ФЗ "О государственном контроле (надзоре) и муниципальном контроле в Российской Федерации";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09.06.1995 № 578 «Об утверждении Правил охраны линий и сооружений связи»;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02.07.2004 № 336 «Об утверждении Положения о Государственной комиссии по радиочастотам»;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13.07.2004 № 350 «Об утверждении Правил распределения и использования </w:t>
      </w:r>
      <w:proofErr w:type="gramStart"/>
      <w:r w:rsidRPr="00156AA4">
        <w:rPr>
          <w:sz w:val="26"/>
          <w:szCs w:val="26"/>
        </w:rPr>
        <w:t>ресурсов нумерации единой сети электросвязи Российской Федерации</w:t>
      </w:r>
      <w:proofErr w:type="gramEnd"/>
      <w:r w:rsidRPr="00156AA4">
        <w:rPr>
          <w:sz w:val="26"/>
          <w:szCs w:val="26"/>
        </w:rPr>
        <w:t>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19.01.2005 № 30 «О Типовом регламенте взаимодействия федеральных органов исполнительной власти»;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01.04.2005 № 175 «Об утверждении Правил осуществления </w:t>
      </w:r>
      <w:proofErr w:type="spellStart"/>
      <w:r w:rsidRPr="00156AA4">
        <w:rPr>
          <w:sz w:val="26"/>
          <w:szCs w:val="26"/>
        </w:rPr>
        <w:t>радиоконтроля</w:t>
      </w:r>
      <w:proofErr w:type="spellEnd"/>
      <w:r w:rsidRPr="00156AA4">
        <w:rPr>
          <w:sz w:val="26"/>
          <w:szCs w:val="26"/>
        </w:rPr>
        <w:t xml:space="preserve"> в Российской Федерации»;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21.04.2005 № 241 «О мерах по организации оказания универсальных услуг связи»;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21.04.2005 № 242 «Об утверждении Правил государственного регулирования тарифов на универсальные услуги связи»;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21.04.2005 № 243 «Об утверждении Правил формирования и расходования средств резерва универсального обслуживания»;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27.08.2005 № 538 «Об утверждении правил взаимодействия операторов связи с уполномоченными государственными органами, осуществляющими </w:t>
      </w:r>
      <w:proofErr w:type="gramStart"/>
      <w:r w:rsidRPr="00156AA4">
        <w:rPr>
          <w:sz w:val="26"/>
          <w:szCs w:val="26"/>
        </w:rPr>
        <w:t>оперативно-розыскную</w:t>
      </w:r>
      <w:proofErr w:type="gramEnd"/>
      <w:r w:rsidRPr="00156AA4">
        <w:rPr>
          <w:sz w:val="26"/>
          <w:szCs w:val="26"/>
        </w:rPr>
        <w:t xml:space="preserve"> деятельности»;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156AA4">
        <w:rPr>
          <w:sz w:val="26"/>
          <w:szCs w:val="26"/>
        </w:rPr>
        <w:t xml:space="preserve">Постановление Правительства Российской Федерации от 19.10.2005 № 627 «О государственном регулировании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и о регулировании тарифов на услуги присоединения и услуги по пропуску трафика, оказываемые с использованием инфраструктуры связи (средств связи, линий связи и сооружений связи), предназначенной для оказания универсальных услуг связи»; </w:t>
      </w:r>
      <w:proofErr w:type="gramEnd"/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24.10.2005 № 637 «О государственном регулировании тарифов на услуги общедоступной электросвязи и общедоступной почтовой связи»;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16.03.2009 № 228 «О Федеральной службе по надзору в сфере </w:t>
      </w:r>
      <w:r w:rsidRPr="00156AA4">
        <w:rPr>
          <w:sz w:val="26"/>
          <w:szCs w:val="26"/>
        </w:rPr>
        <w:lastRenderedPageBreak/>
        <w:t>связи, информационных технологий и массовых коммуникаций»;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56AA4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156AA4">
        <w:rPr>
          <w:sz w:val="26"/>
          <w:szCs w:val="26"/>
        </w:rPr>
        <w:t xml:space="preserve"> и индивидуальных предпринимателей»;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30.06.2012 №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Федерации";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26.10.2012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156AA4">
        <w:rPr>
          <w:sz w:val="26"/>
          <w:szCs w:val="26"/>
        </w:rPr>
        <w:t>Постановление Правительства Российской Федерации от 19.03.2014 № 209 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предпринимателям";</w:t>
      </w:r>
      <w:proofErr w:type="gramEnd"/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14.05.2014 № 434 «О радиочастотной службе»;</w:t>
      </w:r>
    </w:p>
    <w:p w:rsid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156AA4">
        <w:rPr>
          <w:sz w:val="26"/>
          <w:szCs w:val="26"/>
        </w:rPr>
        <w:t xml:space="preserve">Постановление Правительства Российской Федерации от 29.05.2014 № 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</w:t>
      </w:r>
      <w:proofErr w:type="spellStart"/>
      <w:r w:rsidRPr="00156AA4">
        <w:rPr>
          <w:sz w:val="26"/>
          <w:szCs w:val="26"/>
        </w:rPr>
        <w:t>бенефициарных</w:t>
      </w:r>
      <w:proofErr w:type="spellEnd"/>
      <w:r w:rsidRPr="00156AA4">
        <w:rPr>
          <w:sz w:val="26"/>
          <w:szCs w:val="2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Федерации";</w:t>
      </w:r>
      <w:proofErr w:type="gramEnd"/>
    </w:p>
    <w:p w:rsidR="00F21067" w:rsidRPr="00F21067" w:rsidRDefault="00F21067" w:rsidP="00F21067">
      <w:pPr>
        <w:pStyle w:val="a7"/>
        <w:numPr>
          <w:ilvl w:val="0"/>
          <w:numId w:val="15"/>
        </w:numPr>
        <w:shd w:val="clear" w:color="auto" w:fill="FFFFFF"/>
        <w:spacing w:before="161" w:after="161"/>
        <w:ind w:left="0" w:firstLine="709"/>
        <w:jc w:val="both"/>
        <w:outlineLvl w:val="0"/>
        <w:rPr>
          <w:bCs/>
          <w:color w:val="000000"/>
          <w:kern w:val="36"/>
          <w:sz w:val="26"/>
          <w:szCs w:val="26"/>
        </w:rPr>
      </w:pPr>
      <w:r w:rsidRPr="00F21067">
        <w:rPr>
          <w:bCs/>
          <w:color w:val="000000"/>
          <w:kern w:val="36"/>
          <w:sz w:val="26"/>
          <w:szCs w:val="26"/>
        </w:rPr>
        <w:t>Постановление Правительства Р</w:t>
      </w:r>
      <w:r w:rsidR="00AD4947">
        <w:rPr>
          <w:bCs/>
          <w:color w:val="000000"/>
          <w:kern w:val="36"/>
          <w:sz w:val="26"/>
          <w:szCs w:val="26"/>
        </w:rPr>
        <w:t xml:space="preserve">оссийской </w:t>
      </w:r>
      <w:r w:rsidRPr="00F21067">
        <w:rPr>
          <w:bCs/>
          <w:color w:val="000000"/>
          <w:kern w:val="36"/>
          <w:sz w:val="26"/>
          <w:szCs w:val="26"/>
        </w:rPr>
        <w:t>Ф</w:t>
      </w:r>
      <w:r w:rsidR="00AD4947">
        <w:rPr>
          <w:bCs/>
          <w:color w:val="000000"/>
          <w:kern w:val="36"/>
          <w:sz w:val="26"/>
          <w:szCs w:val="26"/>
        </w:rPr>
        <w:t>едерации</w:t>
      </w:r>
      <w:r w:rsidRPr="00F21067">
        <w:rPr>
          <w:bCs/>
          <w:color w:val="000000"/>
          <w:kern w:val="36"/>
          <w:sz w:val="26"/>
          <w:szCs w:val="26"/>
        </w:rPr>
        <w:t xml:space="preserve"> от 09.12.2014 </w:t>
      </w:r>
      <w:r>
        <w:rPr>
          <w:bCs/>
          <w:color w:val="000000"/>
          <w:kern w:val="36"/>
          <w:sz w:val="26"/>
          <w:szCs w:val="26"/>
        </w:rPr>
        <w:t>№</w:t>
      </w:r>
      <w:r w:rsidRPr="00F21067">
        <w:rPr>
          <w:bCs/>
          <w:color w:val="000000"/>
          <w:kern w:val="36"/>
          <w:sz w:val="26"/>
          <w:szCs w:val="26"/>
        </w:rPr>
        <w:t xml:space="preserve"> 1342 "О порядке оказания услуг телефонной связи"</w:t>
      </w:r>
      <w:r>
        <w:rPr>
          <w:bCs/>
          <w:color w:val="000000"/>
          <w:kern w:val="36"/>
          <w:sz w:val="26"/>
          <w:szCs w:val="26"/>
        </w:rPr>
        <w:t>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18.09.2019 № 1203-47 «Об утверждении Таблицы </w:t>
      </w:r>
      <w:r w:rsidRPr="00156AA4">
        <w:rPr>
          <w:sz w:val="26"/>
          <w:szCs w:val="26"/>
        </w:rPr>
        <w:lastRenderedPageBreak/>
        <w:t xml:space="preserve">распределения полос радиочастот между </w:t>
      </w:r>
      <w:proofErr w:type="spellStart"/>
      <w:r w:rsidRPr="00156AA4">
        <w:rPr>
          <w:sz w:val="26"/>
          <w:szCs w:val="26"/>
        </w:rPr>
        <w:t>радиослужбами</w:t>
      </w:r>
      <w:proofErr w:type="spellEnd"/>
      <w:r w:rsidRPr="00156AA4">
        <w:rPr>
          <w:sz w:val="26"/>
          <w:szCs w:val="26"/>
        </w:rPr>
        <w:t xml:space="preserve"> Российской Федерации и признании </w:t>
      </w:r>
      <w:proofErr w:type="gramStart"/>
      <w:r w:rsidRPr="00156AA4">
        <w:rPr>
          <w:sz w:val="26"/>
          <w:szCs w:val="26"/>
        </w:rPr>
        <w:t>утратившими</w:t>
      </w:r>
      <w:proofErr w:type="gramEnd"/>
      <w:r w:rsidRPr="00156AA4">
        <w:rPr>
          <w:sz w:val="26"/>
          <w:szCs w:val="26"/>
        </w:rPr>
        <w:t xml:space="preserve"> силу некоторых постановлений Правительства Российской Федерации»;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16.11.2020 № 1847 «Об утверждении перечня измерений, относящихся к сфере государственного регулирования обеспечения единства измерений»;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РФ от 30.12.2020 № 2385 "О лицензировании деятельности в области оказания услуг связи и признании утратившими силу некоторых актов Правительства Российской Федерации"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29.06.2021 № 1045 «О Федеральном государственном контроле (надзоре) в области связи»;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20.10.2021 № 1800 «О порядке регистрации радиоэлектронных средств и высокочастотных устройств»;</w:t>
      </w:r>
    </w:p>
    <w:p w:rsid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30.11.2021 № 2119 «Об утверждении Правил присоединения и взаимодействия сетей связи для распространения программ телевизионного вещания и (или) радиовещания»; </w:t>
      </w:r>
    </w:p>
    <w:p w:rsidR="00AD4947" w:rsidRDefault="00AD4947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hyperlink r:id="rId9" w:history="1">
        <w:r w:rsidRPr="00AD4947">
          <w:rPr>
            <w:rStyle w:val="ac"/>
            <w:bCs/>
            <w:color w:val="auto"/>
            <w:sz w:val="26"/>
            <w:szCs w:val="26"/>
            <w:u w:val="none"/>
            <w:shd w:val="clear" w:color="auto" w:fill="FFFFFF"/>
          </w:rPr>
          <w:t xml:space="preserve">Постановление Правительства </w:t>
        </w:r>
        <w:r w:rsidR="00E91E99" w:rsidRPr="00156AA4">
          <w:rPr>
            <w:sz w:val="26"/>
            <w:szCs w:val="26"/>
          </w:rPr>
          <w:t xml:space="preserve">Российской Федерации </w:t>
        </w:r>
        <w:r w:rsidRPr="00AD4947">
          <w:rPr>
            <w:rStyle w:val="ac"/>
            <w:bCs/>
            <w:color w:val="auto"/>
            <w:sz w:val="26"/>
            <w:szCs w:val="26"/>
            <w:u w:val="none"/>
            <w:shd w:val="clear" w:color="auto" w:fill="FFFFFF"/>
          </w:rPr>
          <w:t>от 31.12.2021 N 2606 "Об утверждении Правил оказания услуг связи по передаче данных"</w:t>
        </w:r>
      </w:hyperlink>
      <w:r w:rsidR="00E91E99">
        <w:rPr>
          <w:sz w:val="26"/>
          <w:szCs w:val="26"/>
        </w:rPr>
        <w:t>;</w:t>
      </w:r>
    </w:p>
    <w:p w:rsidR="00E91E99" w:rsidRPr="00AD4947" w:rsidRDefault="00E91E99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AD4947">
        <w:rPr>
          <w:sz w:val="26"/>
          <w:szCs w:val="26"/>
        </w:rPr>
        <w:fldChar w:fldCharType="begin"/>
      </w:r>
      <w:r w:rsidRPr="00AD4947">
        <w:rPr>
          <w:sz w:val="26"/>
          <w:szCs w:val="26"/>
        </w:rPr>
        <w:instrText xml:space="preserve"> HYPERLINK "https://www.consultant.ru/document/cons_doc_LAW_406236/" </w:instrText>
      </w:r>
      <w:r w:rsidRPr="00AD4947">
        <w:rPr>
          <w:sz w:val="26"/>
          <w:szCs w:val="26"/>
        </w:rPr>
        <w:fldChar w:fldCharType="separate"/>
      </w:r>
      <w:r w:rsidRPr="00AD4947"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 xml:space="preserve">Постановление Правительства </w:t>
      </w:r>
      <w:r w:rsidRPr="00156AA4">
        <w:rPr>
          <w:sz w:val="26"/>
          <w:szCs w:val="26"/>
        </w:rPr>
        <w:t xml:space="preserve">Российской Федерации </w:t>
      </w:r>
      <w:r w:rsidRPr="00AD4947"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>от 31.12.2021 N 260</w:t>
      </w:r>
      <w:r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>7</w:t>
      </w:r>
      <w:r w:rsidRPr="00AD4947"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 xml:space="preserve"> "Об утверждении Правил оказания </w:t>
      </w:r>
      <w:proofErr w:type="spellStart"/>
      <w:r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>телематических</w:t>
      </w:r>
      <w:proofErr w:type="spellEnd"/>
      <w:r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AD4947"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>услуг связи</w:t>
      </w:r>
      <w:bookmarkStart w:id="0" w:name="_GoBack"/>
      <w:bookmarkEnd w:id="0"/>
      <w:r w:rsidRPr="00AD4947">
        <w:rPr>
          <w:rStyle w:val="ac"/>
          <w:bCs/>
          <w:color w:val="auto"/>
          <w:sz w:val="26"/>
          <w:szCs w:val="26"/>
          <w:u w:val="none"/>
          <w:shd w:val="clear" w:color="auto" w:fill="FFFFFF"/>
        </w:rPr>
        <w:t>"</w:t>
      </w:r>
      <w:r w:rsidRPr="00AD4947">
        <w:rPr>
          <w:sz w:val="26"/>
          <w:szCs w:val="26"/>
        </w:rPr>
        <w:fldChar w:fldCharType="end"/>
      </w:r>
      <w:r>
        <w:rPr>
          <w:sz w:val="26"/>
          <w:szCs w:val="26"/>
        </w:rPr>
        <w:t>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Постановление Правительства Российской Федерации от 21.01.2022 № 29 «Об утверждении правил присоединения сетей электросвязи и их взаимодействия»;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04.02.2022 № 113 «Об утверждении перечня сре</w:t>
      </w:r>
      <w:proofErr w:type="gramStart"/>
      <w:r w:rsidRPr="00156AA4">
        <w:rPr>
          <w:sz w:val="26"/>
          <w:szCs w:val="26"/>
        </w:rPr>
        <w:t>дств св</w:t>
      </w:r>
      <w:proofErr w:type="gramEnd"/>
      <w:r w:rsidRPr="00156AA4">
        <w:rPr>
          <w:sz w:val="26"/>
          <w:szCs w:val="26"/>
        </w:rPr>
        <w:t xml:space="preserve">язи, подлежащих обязательной сертификации»; </w:t>
      </w:r>
    </w:p>
    <w:p w:rsidR="00156AA4" w:rsidRPr="00156AA4" w:rsidRDefault="00156AA4" w:rsidP="00156AA4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19.02.2022 № 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Постановление Правительства Российской Федерации от 03.11.2022 № 1984 «Об утверждении Правил представления отчета о деятельности оператора связи и формы отчета о деятельности оператора связи»;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lastRenderedPageBreak/>
        <w:t>Распоряжение Правительства Российской Федерации от 15.04.2013 № 611-р «Об утверждении перечня нарушений целостности, устойчивости функционирования и безопасности единой сети электросвязи Российской Федерации»;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Министерства информационных технологий и связи РФ от 02.05.2006 № 54 «Об утверждении Порядка ведения операторами связи раздельного учета доходов и расходов по осуществляемым видам деятельности, оказываемым услугам связи и используемым для оказания этих услуг частям сети электросвязи»;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Министерства информационных технологий и связи РФ от 09.01.2008 № 1 «Об утверждении требований по защите сетей связи от несанкционированного доступа к ним и передаваемой посредством их информации»;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Приказ Министерства информационных технологий и связи РФ от 16.01.2008 № 6 «Об утверждении Требований к сетям электросвязи для проведения оперативно-</w:t>
      </w:r>
      <w:proofErr w:type="spellStart"/>
      <w:r w:rsidRPr="00156AA4">
        <w:rPr>
          <w:sz w:val="26"/>
          <w:szCs w:val="26"/>
        </w:rPr>
        <w:t>разыскных</w:t>
      </w:r>
      <w:proofErr w:type="spellEnd"/>
      <w:r w:rsidRPr="00156AA4">
        <w:rPr>
          <w:sz w:val="26"/>
          <w:szCs w:val="26"/>
        </w:rPr>
        <w:t xml:space="preserve"> мероприятий. Часть I. Общие требования»;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Приказ Министерства связи и массовых коммуникаций РФ от 19.05.2009 № 65 «Об утверждении Требований к сетям и средствам почтовой связи для проведения оперативно-</w:t>
      </w:r>
      <w:proofErr w:type="spellStart"/>
      <w:r w:rsidRPr="00156AA4">
        <w:rPr>
          <w:sz w:val="26"/>
          <w:szCs w:val="26"/>
        </w:rPr>
        <w:t>разыскных</w:t>
      </w:r>
      <w:proofErr w:type="spellEnd"/>
      <w:r w:rsidRPr="00156AA4">
        <w:rPr>
          <w:sz w:val="26"/>
          <w:szCs w:val="26"/>
        </w:rPr>
        <w:t xml:space="preserve"> мероприятий»;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Приказ Министерства связи и массовых коммуникаций РФ от 27.05.2010 № 73 «Об утверждении Требований к сетям электросвязи для проведения оперативно-</w:t>
      </w:r>
      <w:proofErr w:type="spellStart"/>
      <w:r w:rsidRPr="00156AA4">
        <w:rPr>
          <w:sz w:val="26"/>
          <w:szCs w:val="26"/>
        </w:rPr>
        <w:t>разыскных</w:t>
      </w:r>
      <w:proofErr w:type="spellEnd"/>
      <w:r w:rsidRPr="00156AA4">
        <w:rPr>
          <w:sz w:val="26"/>
          <w:szCs w:val="26"/>
        </w:rPr>
        <w:t xml:space="preserve"> мероприятий. Часть II. Требования к сетям передачи данных»;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Минкомсвязи</w:t>
      </w:r>
      <w:proofErr w:type="spellEnd"/>
      <w:r w:rsidRPr="00156AA4">
        <w:rPr>
          <w:sz w:val="26"/>
          <w:szCs w:val="26"/>
        </w:rPr>
        <w:t xml:space="preserve"> России от 12.01.2012 № 4 «Об утверждении Порядка образования позывных сигналов для опознавания радиоэлектронных сре</w:t>
      </w:r>
      <w:proofErr w:type="gramStart"/>
      <w:r w:rsidRPr="00156AA4">
        <w:rPr>
          <w:sz w:val="26"/>
          <w:szCs w:val="26"/>
        </w:rPr>
        <w:t>дств гр</w:t>
      </w:r>
      <w:proofErr w:type="gramEnd"/>
      <w:r w:rsidRPr="00156AA4">
        <w:rPr>
          <w:sz w:val="26"/>
          <w:szCs w:val="26"/>
        </w:rPr>
        <w:t>ажданского назначения»;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Минкомсвязи</w:t>
      </w:r>
      <w:proofErr w:type="spellEnd"/>
      <w:r w:rsidRPr="00156AA4">
        <w:rPr>
          <w:sz w:val="26"/>
          <w:szCs w:val="26"/>
        </w:rPr>
        <w:t xml:space="preserve">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Минкомсвязи</w:t>
      </w:r>
      <w:proofErr w:type="spellEnd"/>
      <w:r w:rsidRPr="00156AA4">
        <w:rPr>
          <w:sz w:val="26"/>
          <w:szCs w:val="26"/>
        </w:rPr>
        <w:t xml:space="preserve"> России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13.08.2021 № 832 «Об утверждении требований к построению телефонной сети связи общего пользования»;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10.11.2021 № 1164 «Об утверждении Порядка и Формы представления сведений о базе расчета обязательных отчислений (неналоговых платежей) в резерв универсального обслуживания»;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25.11.2021 № 1229 «Об утверждении Требований к организационно-техническому обеспечению устойчивого функционирования сети связи общего пользования»;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17.01.2022 № 27 «Об утверждении Требований к оказанию услуг подвижной радиосвязи и </w:t>
      </w:r>
      <w:r w:rsidRPr="00156AA4">
        <w:rPr>
          <w:sz w:val="26"/>
          <w:szCs w:val="26"/>
        </w:rPr>
        <w:lastRenderedPageBreak/>
        <w:t xml:space="preserve">подвижной радиотелефонной связи при использовании </w:t>
      </w:r>
      <w:proofErr w:type="gramStart"/>
      <w:r w:rsidRPr="00156AA4">
        <w:rPr>
          <w:sz w:val="26"/>
          <w:szCs w:val="26"/>
        </w:rPr>
        <w:t>бизнес-моделей</w:t>
      </w:r>
      <w:proofErr w:type="gramEnd"/>
      <w:r w:rsidRPr="00156AA4">
        <w:rPr>
          <w:sz w:val="26"/>
          <w:szCs w:val="26"/>
        </w:rPr>
        <w:t xml:space="preserve"> виртуальных сетей подвижной радиосвязи и подвижной радиотелефонной связи»;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31.01.2022 № 75 «Об утверждении российской системы и плана нумерации»;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03.02.2022 № 85 «Об утверждении Требований к оказанию услуг телеграфной связи»;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07.02.2022 № 94 «Об утверждении требований к порядку пропуска трафика в телефонной сети связи общего пользования»;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18.02.2022 № 132 «Об утверждении Требований к порядку ввода сетей связи в эксплуатацию»;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14.03.2022 № 198 «Об определении Порядка применения франкировальных машин»;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18.04.2022 № 370 «Об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29.04.2022 года № 400 «Об утверждении нормативов частоты сбора письменной корреспонденции из почтовых ящиков, нормативов ее обмена, перевозки и доставки, а также контрольных сроков пересылки письменной корреспонденции»;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Минцифры</w:t>
      </w:r>
      <w:proofErr w:type="spellEnd"/>
      <w:r w:rsidRPr="00156AA4">
        <w:rPr>
          <w:sz w:val="26"/>
          <w:szCs w:val="26"/>
        </w:rPr>
        <w:t xml:space="preserve"> России от 17.04.2023 № 382 «Об утверждении Правил оказания услуг почтовой связи»;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04.02.2014 № 16 «Об утверждении Перечня должностных лиц Федеральной службы по надзору в сфере связи, информационных технологий и массовых коммуникаций, и ее территориальных органов, уполномоченных составлять протоколы об административных правонарушениях»;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22.10.2018 № 154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</w:t>
      </w:r>
      <w:proofErr w:type="gramStart"/>
      <w:r w:rsidRPr="00156AA4">
        <w:rPr>
          <w:sz w:val="26"/>
          <w:szCs w:val="26"/>
        </w:rPr>
        <w:t>ств гр</w:t>
      </w:r>
      <w:proofErr w:type="gramEnd"/>
      <w:r w:rsidRPr="00156AA4">
        <w:rPr>
          <w:sz w:val="26"/>
          <w:szCs w:val="26"/>
        </w:rPr>
        <w:t>ажданского назначения»;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31.10.2018 № 160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выполнением правил присоединения сетей электросвязи к сети связи общего пользования, в том числе условий присоединения»;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18.12.2018 № 199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операторами связи и владельцами сетей связи специального назначения требований к пропуску трафика и его маршрутизации»;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18.12.2018 № 200 «Об утверждении Административного регламента осуществления </w:t>
      </w:r>
      <w:r w:rsidRPr="00156AA4">
        <w:rPr>
          <w:sz w:val="26"/>
          <w:szCs w:val="26"/>
        </w:rPr>
        <w:lastRenderedPageBreak/>
        <w:t xml:space="preserve">Федеральной службой по надзору в сфере связи, информационных технологий и массовых коммуникаций государственного контроля (надзора)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Федерации»; </w:t>
      </w:r>
      <w:proofErr w:type="gramEnd"/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18.12.2018 № 201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17.06.2019 № 189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156AA4">
        <w:rPr>
          <w:sz w:val="26"/>
          <w:szCs w:val="26"/>
        </w:rPr>
        <w:t xml:space="preserve">Приказ </w:t>
      </w:r>
      <w:proofErr w:type="spellStart"/>
      <w:r w:rsidRPr="00156AA4">
        <w:rPr>
          <w:sz w:val="26"/>
          <w:szCs w:val="26"/>
        </w:rPr>
        <w:t>Роскомнадзора</w:t>
      </w:r>
      <w:proofErr w:type="spellEnd"/>
      <w:r w:rsidRPr="00156AA4">
        <w:rPr>
          <w:sz w:val="26"/>
          <w:szCs w:val="26"/>
        </w:rPr>
        <w:t xml:space="preserve"> от 10.02.2022 № 34 "Об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связи, информационных технологий и массовых коммуникаций и ее территориальными органами при осуществлении федерального государственного контроля (надзора) в области связи"; </w:t>
      </w:r>
      <w:proofErr w:type="gramEnd"/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Решение ГКРЧ при </w:t>
      </w:r>
      <w:proofErr w:type="spellStart"/>
      <w:r w:rsidRPr="00156AA4">
        <w:rPr>
          <w:sz w:val="26"/>
          <w:szCs w:val="26"/>
        </w:rPr>
        <w:t>Минкомсвязи</w:t>
      </w:r>
      <w:proofErr w:type="spellEnd"/>
      <w:r w:rsidRPr="00156AA4">
        <w:rPr>
          <w:sz w:val="26"/>
          <w:szCs w:val="26"/>
        </w:rPr>
        <w:t xml:space="preserve"> России от 20.12.2011 № 11-13-01 «Об утверждении Порядка рассмотрения материалов и принятия решений о выделении полос радиочастот, переоформления решений и внесения в них изменений»;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Решение ГКРЧ при </w:t>
      </w:r>
      <w:proofErr w:type="spellStart"/>
      <w:r w:rsidRPr="00156AA4">
        <w:rPr>
          <w:sz w:val="26"/>
          <w:szCs w:val="26"/>
        </w:rPr>
        <w:t>Минкомсвязи</w:t>
      </w:r>
      <w:proofErr w:type="spellEnd"/>
      <w:r w:rsidRPr="00156AA4">
        <w:rPr>
          <w:sz w:val="26"/>
          <w:szCs w:val="26"/>
        </w:rPr>
        <w:t xml:space="preserve"> России от 07.11.2016 № 16-39-01 «Об утверждении </w:t>
      </w:r>
      <w:proofErr w:type="gramStart"/>
      <w:r w:rsidRPr="00156AA4">
        <w:rPr>
          <w:sz w:val="26"/>
          <w:szCs w:val="26"/>
        </w:rPr>
        <w:t>Порядка проведения экспертизы возможности использования заявленных радиоэлектронных средств</w:t>
      </w:r>
      <w:proofErr w:type="gramEnd"/>
      <w:r w:rsidRPr="00156AA4">
        <w:rPr>
          <w:sz w:val="26"/>
          <w:szCs w:val="26"/>
        </w:rPr>
        <w:t xml:space="preserve">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радиочастот»; 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Приказ Федеральной службы по финансовому мониторингу от 03.08.2010 № 203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терроризма";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Приказ Федеральной службы по финансовому мониторингу от 20.07. 2020 № 175 "Об утверждении Порядка ведения личного кабинета, а также Порядка доступа к личному кабинету и его использования";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>Приказ Федеральной службы по финансовому мониторингу от 04.03.2021 № 37 «Об утверждении особенностей направления Федеральной службой по финансовому мониторингу запросов в электронной форме в организации, осуществляющие операции с денежными средствами или иным имуществом»;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lastRenderedPageBreak/>
        <w:t>Приказ Федеральной службы по финансовому мониторингу от 08.02.2022 № 18 "Об утверждении особенностей представления в Федеральную службу по финансовому мониторингу информации, предусмотренной Федеральным законом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156AA4" w:rsidRPr="00156AA4" w:rsidRDefault="00156AA4" w:rsidP="00156AA4">
      <w:pPr>
        <w:pStyle w:val="a7"/>
        <w:widowControl w:val="0"/>
        <w:numPr>
          <w:ilvl w:val="0"/>
          <w:numId w:val="15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156AA4">
        <w:rPr>
          <w:sz w:val="26"/>
          <w:szCs w:val="26"/>
        </w:rPr>
        <w:t xml:space="preserve">Приказ Федеральной службы по финансовому мониторингу от 20.05.2022 № 100 "Об утверждении требований к идентификации клиентов, представителей клиента, выгодоприобретателей и </w:t>
      </w:r>
      <w:proofErr w:type="spellStart"/>
      <w:r w:rsidRPr="00156AA4">
        <w:rPr>
          <w:sz w:val="26"/>
          <w:szCs w:val="26"/>
        </w:rPr>
        <w:t>бенефициарных</w:t>
      </w:r>
      <w:proofErr w:type="spellEnd"/>
      <w:r w:rsidRPr="00156AA4">
        <w:rPr>
          <w:sz w:val="26"/>
          <w:szCs w:val="26"/>
        </w:rPr>
        <w:t xml:space="preserve"> владельцев, в том числе с учетом степени (уровня) риска совершения подозрительных операций";</w:t>
      </w:r>
    </w:p>
    <w:p w:rsidR="00301278" w:rsidRPr="00E771B5" w:rsidRDefault="00301278" w:rsidP="00E771B5">
      <w:pPr>
        <w:tabs>
          <w:tab w:val="left" w:pos="142"/>
        </w:tabs>
        <w:ind w:left="284"/>
        <w:jc w:val="both"/>
        <w:rPr>
          <w:sz w:val="26"/>
          <w:szCs w:val="26"/>
        </w:rPr>
      </w:pPr>
    </w:p>
    <w:sectPr w:rsidR="00301278" w:rsidRPr="00E771B5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9F" w:rsidRDefault="00DB309F" w:rsidP="00320ED0">
      <w:r>
        <w:separator/>
      </w:r>
    </w:p>
  </w:endnote>
  <w:endnote w:type="continuationSeparator" w:id="0">
    <w:p w:rsidR="00DB309F" w:rsidRDefault="00DB309F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9F" w:rsidRDefault="00DB309F" w:rsidP="00320ED0">
      <w:r>
        <w:separator/>
      </w:r>
    </w:p>
  </w:footnote>
  <w:footnote w:type="continuationSeparator" w:id="0">
    <w:p w:rsidR="00DB309F" w:rsidRDefault="00DB309F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EE45A4A"/>
    <w:multiLevelType w:val="hybridMultilevel"/>
    <w:tmpl w:val="039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28E9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269DE"/>
    <w:rsid w:val="001322DE"/>
    <w:rsid w:val="00132827"/>
    <w:rsid w:val="00132B00"/>
    <w:rsid w:val="001426F9"/>
    <w:rsid w:val="00143555"/>
    <w:rsid w:val="00152234"/>
    <w:rsid w:val="00156AA4"/>
    <w:rsid w:val="00172B86"/>
    <w:rsid w:val="001879B0"/>
    <w:rsid w:val="00187FCE"/>
    <w:rsid w:val="001A0143"/>
    <w:rsid w:val="001B2596"/>
    <w:rsid w:val="001B2FCF"/>
    <w:rsid w:val="001E03CD"/>
    <w:rsid w:val="001F0003"/>
    <w:rsid w:val="001F3F2F"/>
    <w:rsid w:val="001F67C9"/>
    <w:rsid w:val="002044B7"/>
    <w:rsid w:val="00220C70"/>
    <w:rsid w:val="00247D44"/>
    <w:rsid w:val="00251951"/>
    <w:rsid w:val="002522CA"/>
    <w:rsid w:val="0025283B"/>
    <w:rsid w:val="002535E1"/>
    <w:rsid w:val="00263F22"/>
    <w:rsid w:val="0027123D"/>
    <w:rsid w:val="00285A85"/>
    <w:rsid w:val="00292CAD"/>
    <w:rsid w:val="002B67BA"/>
    <w:rsid w:val="002D39CD"/>
    <w:rsid w:val="002E568D"/>
    <w:rsid w:val="00301278"/>
    <w:rsid w:val="00313DC2"/>
    <w:rsid w:val="00320ED0"/>
    <w:rsid w:val="003236B3"/>
    <w:rsid w:val="00345440"/>
    <w:rsid w:val="0034662D"/>
    <w:rsid w:val="00351B0A"/>
    <w:rsid w:val="00354AE3"/>
    <w:rsid w:val="00356B62"/>
    <w:rsid w:val="003765A0"/>
    <w:rsid w:val="0038141E"/>
    <w:rsid w:val="00391CCB"/>
    <w:rsid w:val="0039586E"/>
    <w:rsid w:val="003A0BE2"/>
    <w:rsid w:val="003A62F8"/>
    <w:rsid w:val="003C61D1"/>
    <w:rsid w:val="003D28AB"/>
    <w:rsid w:val="003F0302"/>
    <w:rsid w:val="003F799D"/>
    <w:rsid w:val="004256A1"/>
    <w:rsid w:val="00425EA1"/>
    <w:rsid w:val="0042624D"/>
    <w:rsid w:val="004262D5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459"/>
    <w:rsid w:val="004E222A"/>
    <w:rsid w:val="004F1865"/>
    <w:rsid w:val="004F5EA5"/>
    <w:rsid w:val="00505D7D"/>
    <w:rsid w:val="00521C74"/>
    <w:rsid w:val="00527AFF"/>
    <w:rsid w:val="00532AD3"/>
    <w:rsid w:val="00535B10"/>
    <w:rsid w:val="0054445E"/>
    <w:rsid w:val="00552336"/>
    <w:rsid w:val="00561744"/>
    <w:rsid w:val="00574D40"/>
    <w:rsid w:val="005A1750"/>
    <w:rsid w:val="005B1105"/>
    <w:rsid w:val="005B3F00"/>
    <w:rsid w:val="005B4233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47B95"/>
    <w:rsid w:val="0075128F"/>
    <w:rsid w:val="00780797"/>
    <w:rsid w:val="007946FB"/>
    <w:rsid w:val="007951CA"/>
    <w:rsid w:val="007B48B2"/>
    <w:rsid w:val="007D343F"/>
    <w:rsid w:val="007E7199"/>
    <w:rsid w:val="007F1B66"/>
    <w:rsid w:val="007F260D"/>
    <w:rsid w:val="007F48E3"/>
    <w:rsid w:val="0080252D"/>
    <w:rsid w:val="00855393"/>
    <w:rsid w:val="0086242A"/>
    <w:rsid w:val="00862F6D"/>
    <w:rsid w:val="00867283"/>
    <w:rsid w:val="008A1E9D"/>
    <w:rsid w:val="008B7C9F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C7498"/>
    <w:rsid w:val="009F007B"/>
    <w:rsid w:val="009F4C41"/>
    <w:rsid w:val="00A02AF3"/>
    <w:rsid w:val="00A252C1"/>
    <w:rsid w:val="00A2600E"/>
    <w:rsid w:val="00A35B86"/>
    <w:rsid w:val="00A5196A"/>
    <w:rsid w:val="00A61101"/>
    <w:rsid w:val="00A70382"/>
    <w:rsid w:val="00AA1FEF"/>
    <w:rsid w:val="00AC083B"/>
    <w:rsid w:val="00AD4947"/>
    <w:rsid w:val="00AE44BA"/>
    <w:rsid w:val="00AE685A"/>
    <w:rsid w:val="00AF2BC9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B5B21"/>
    <w:rsid w:val="00BD32C9"/>
    <w:rsid w:val="00BD385B"/>
    <w:rsid w:val="00BE4925"/>
    <w:rsid w:val="00BE5B35"/>
    <w:rsid w:val="00BE728C"/>
    <w:rsid w:val="00C254BC"/>
    <w:rsid w:val="00C45A1E"/>
    <w:rsid w:val="00C46785"/>
    <w:rsid w:val="00C64F68"/>
    <w:rsid w:val="00C75AFD"/>
    <w:rsid w:val="00C84C78"/>
    <w:rsid w:val="00C914F1"/>
    <w:rsid w:val="00C92081"/>
    <w:rsid w:val="00CA2F8F"/>
    <w:rsid w:val="00CB09CF"/>
    <w:rsid w:val="00CC5B15"/>
    <w:rsid w:val="00CD142C"/>
    <w:rsid w:val="00CD374F"/>
    <w:rsid w:val="00CE17A8"/>
    <w:rsid w:val="00CE5B87"/>
    <w:rsid w:val="00CF25E1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90A0E"/>
    <w:rsid w:val="00DA140B"/>
    <w:rsid w:val="00DB309F"/>
    <w:rsid w:val="00DC59F3"/>
    <w:rsid w:val="00DC7238"/>
    <w:rsid w:val="00DD01D1"/>
    <w:rsid w:val="00DD18B0"/>
    <w:rsid w:val="00DD58E9"/>
    <w:rsid w:val="00DE4FCB"/>
    <w:rsid w:val="00DF7AA1"/>
    <w:rsid w:val="00E036A9"/>
    <w:rsid w:val="00E07138"/>
    <w:rsid w:val="00E1217D"/>
    <w:rsid w:val="00E15773"/>
    <w:rsid w:val="00E26E3D"/>
    <w:rsid w:val="00E47AEC"/>
    <w:rsid w:val="00E75A54"/>
    <w:rsid w:val="00E771B5"/>
    <w:rsid w:val="00E91E99"/>
    <w:rsid w:val="00E95D13"/>
    <w:rsid w:val="00EC3B4E"/>
    <w:rsid w:val="00EC599C"/>
    <w:rsid w:val="00EC6C11"/>
    <w:rsid w:val="00ED3AB4"/>
    <w:rsid w:val="00ED766A"/>
    <w:rsid w:val="00F145C7"/>
    <w:rsid w:val="00F21067"/>
    <w:rsid w:val="00F2641B"/>
    <w:rsid w:val="00F40A82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1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paragraph" w:customStyle="1" w:styleId="1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06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5222EE-8D4B-4B35-9A37-807E33A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2019-01-18T10:03:00Z</cp:lastPrinted>
  <dcterms:created xsi:type="dcterms:W3CDTF">2024-02-20T09:49:00Z</dcterms:created>
  <dcterms:modified xsi:type="dcterms:W3CDTF">2024-02-21T07:16:00Z</dcterms:modified>
</cp:coreProperties>
</file>