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4F581D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</w:t>
      </w:r>
      <w:bookmarkStart w:id="0" w:name="_GoBack"/>
      <w:bookmarkEnd w:id="0"/>
      <w:r w:rsidR="001034E0" w:rsidRPr="00D90A0E">
        <w:rPr>
          <w:sz w:val="28"/>
          <w:szCs w:val="28"/>
        </w:rPr>
        <w:t>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186969" w:rsidRPr="00184600">
        <w:rPr>
          <w:b/>
          <w:sz w:val="32"/>
          <w:szCs w:val="32"/>
        </w:rPr>
        <w:t>административного и финансового обеспечения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5D4912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5D4912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5D4912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5D4912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186969" w:rsidP="00186969">
            <w:pPr>
              <w:rPr>
                <w:bCs/>
              </w:rPr>
            </w:pPr>
            <w:r>
              <w:rPr>
                <w:bCs/>
              </w:rPr>
              <w:t>административного и финансового обеспечения</w:t>
            </w:r>
            <w:r w:rsidR="009B6BB2" w:rsidRPr="001879B0">
              <w:rPr>
                <w:bCs/>
              </w:rPr>
              <w:t xml:space="preserve"> 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</w:rPr>
            </w:pPr>
            <w:r w:rsidRPr="001879B0">
              <w:rPr>
                <w:bCs/>
              </w:rPr>
              <w:t>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Pr="00195E64" w:rsidRDefault="006778B0" w:rsidP="009F007B">
            <w:pPr>
              <w:jc w:val="both"/>
              <w:rPr>
                <w:rFonts w:eastAsia="Calibri"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  <w:r w:rsidR="00EC2C8F" w:rsidRPr="00195E64">
              <w:rPr>
                <w:b/>
              </w:rPr>
              <w:t>«Экономика и бухгалтерский учет», «Экономика и управление», «Финансы»</w:t>
            </w:r>
            <w:r w:rsidR="004F581D">
              <w:rPr>
                <w:b/>
              </w:rPr>
              <w:t>,  «</w:t>
            </w:r>
            <w:r w:rsidR="004F581D">
              <w:rPr>
                <w:b/>
              </w:rPr>
              <w:t>Бухгалтерский учет, анализ и аудит</w:t>
            </w:r>
            <w:r w:rsidR="004F581D">
              <w:rPr>
                <w:b/>
              </w:rPr>
              <w:t>»</w:t>
            </w:r>
            <w:r w:rsidRPr="00195E64">
              <w:rPr>
                <w:rFonts w:eastAsia="Calibri"/>
                <w:b/>
                <w:lang w:eastAsia="en-US"/>
              </w:rPr>
              <w:t>.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561744" w:rsidRPr="00195E64" w:rsidRDefault="00B21E72" w:rsidP="007C3EAE">
            <w:pPr>
              <w:jc w:val="both"/>
            </w:pPr>
            <w:r w:rsidRPr="00195E64">
              <w:rPr>
                <w:bCs/>
              </w:rPr>
              <w:t>-</w:t>
            </w:r>
            <w:r w:rsidR="00450B35" w:rsidRPr="00195E64">
              <w:t>понятие системы м</w:t>
            </w:r>
            <w:r w:rsidR="009C50F6" w:rsidRPr="00195E64">
              <w:t>ежведомственного взаимодействия</w:t>
            </w:r>
            <w:r w:rsidR="00450B35" w:rsidRPr="00195E64">
              <w:t>;</w:t>
            </w:r>
          </w:p>
          <w:p w:rsidR="00450B35" w:rsidRPr="00195E64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450B35" w:rsidRPr="00195E64">
              <w:t xml:space="preserve">основы делопроизводства и документооборота;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-логического построения текстов документов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7C3EAE" w:rsidRPr="00195E64" w:rsidRDefault="007C3EAE" w:rsidP="007C3EAE">
            <w:pPr>
              <w:widowControl w:val="0"/>
              <w:autoSpaceDE w:val="0"/>
              <w:autoSpaceDN w:val="0"/>
              <w:jc w:val="both"/>
            </w:pPr>
            <w:r w:rsidRPr="00195E64">
              <w:t>-подготовка обоснования закупок;</w:t>
            </w:r>
          </w:p>
          <w:p w:rsidR="007C3EAE" w:rsidRPr="00195E64" w:rsidRDefault="007C3EAE" w:rsidP="007C3E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</w:t>
            </w:r>
            <w:r w:rsidR="00195E64" w:rsidRPr="00195E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редложений/закрытыми способами;</w:t>
            </w:r>
          </w:p>
          <w:p w:rsidR="005B706C" w:rsidRPr="00195E64" w:rsidRDefault="00195E64" w:rsidP="00107045">
            <w:pPr>
              <w:pStyle w:val="ConsPlusNonformat"/>
              <w:jc w:val="both"/>
              <w:rPr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07045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3EAE" w:rsidRPr="00195E64">
              <w:rPr>
                <w:rFonts w:ascii="Times New Roman" w:hAnsi="Times New Roman" w:cs="Times New Roman"/>
                <w:sz w:val="22"/>
                <w:szCs w:val="22"/>
              </w:rPr>
              <w:t>разработка технических заданий извещений и документаций об осуществлении закупок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B03B2D" w:rsidRPr="00195E64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, связанного с финансовым, материально-техническим обеспечением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 том числе осуществлени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закупок товаров, работ, услуг для обеспечения государственных нужд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4228E" w:rsidRPr="00195E64" w:rsidRDefault="00A4228E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 подготовка данных для составления проекта г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>одовой сметы доходов - расходов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, разработка проекта сметы расходов,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39118A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10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осуществление учета и контроля за ход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ом  исполнения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7D70A6" w:rsidP="0039118A">
            <w:pPr>
              <w:jc w:val="both"/>
            </w:pPr>
            <w:r w:rsidRPr="00195E64">
              <w:t>- осуществление расчетов материальных затрат для составления плана производственной деятельности, подготовка информации для годового производственного отчета об исполнении сметы;</w:t>
            </w:r>
          </w:p>
          <w:p w:rsidR="00A4228E" w:rsidRDefault="00195E64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правление государственными закупками в соответствии с 44-ФЗ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4C5052" w:rsidRPr="00195E64" w:rsidRDefault="004C5052" w:rsidP="004C5052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планирование закупок, проведение торгов, заключение государственного контракта, 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исполнение контракта;</w:t>
            </w:r>
          </w:p>
          <w:p w:rsidR="007D70A6" w:rsidRPr="00195E64" w:rsidRDefault="00195E64" w:rsidP="0039118A">
            <w:pPr>
              <w:pStyle w:val="af"/>
              <w:tabs>
                <w:tab w:val="left" w:pos="709"/>
              </w:tabs>
            </w:pPr>
            <w:r w:rsidRPr="00195E64">
              <w:t>-</w:t>
            </w:r>
            <w:r w:rsidR="00A66427">
              <w:t xml:space="preserve"> </w:t>
            </w:r>
            <w:r w:rsidR="007D70A6" w:rsidRPr="00195E64">
              <w:t xml:space="preserve">осуществление полномочий по размещению на официальном сайте установленной документации при осуществлении закупочных процедур; </w:t>
            </w:r>
          </w:p>
          <w:p w:rsidR="004C5052" w:rsidRDefault="00A66427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размещение в </w:t>
            </w:r>
            <w:r w:rsidR="007D70A6" w:rsidRPr="00195E64">
              <w:rPr>
                <w:rStyle w:val="ad"/>
                <w:rFonts w:ascii="Times New Roman" w:hAnsi="Times New Roman" w:cs="Times New Roman"/>
                <w:b w:val="0"/>
                <w:sz w:val="22"/>
                <w:szCs w:val="22"/>
              </w:rPr>
              <w:t>Единой информационной системе закупок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 извещени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и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документаци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проектов контрактов, в соответствии с действующим законодательством</w:t>
            </w:r>
            <w:r w:rsidR="004C505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0A6" w:rsidRPr="00195E64" w:rsidRDefault="004C5052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азмещение заказов в форме запроса котировок, конкурса и аукциона в соответствии с действующим законодательством</w:t>
            </w:r>
          </w:p>
          <w:p w:rsidR="00A4228E" w:rsidRDefault="00A4228E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4C50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лана-графика размещения заказов;</w:t>
            </w:r>
          </w:p>
          <w:p w:rsidR="00C005D7" w:rsidRPr="00C005D7" w:rsidRDefault="004C5052" w:rsidP="00C005D7">
            <w:pPr>
              <w:pStyle w:val="af"/>
              <w:tabs>
                <w:tab w:val="left" w:pos="175"/>
                <w:tab w:val="left" w:pos="317"/>
              </w:tabs>
              <w:ind w:firstLine="34"/>
            </w:pPr>
            <w:r w:rsidRPr="00C005D7">
              <w:rPr>
                <w:shd w:val="clear" w:color="auto" w:fill="FFFFFF"/>
              </w:rPr>
              <w:t>-</w:t>
            </w:r>
            <w:r w:rsidR="00C005D7" w:rsidRPr="00C005D7">
              <w:t xml:space="preserve"> организация оплаты поставленного товара, выполненной работы (ее результатов), оказанной услуги,</w:t>
            </w:r>
            <w:r w:rsidR="00C005D7">
              <w:t xml:space="preserve"> </w:t>
            </w:r>
            <w:r w:rsidR="00C005D7" w:rsidRPr="00C005D7">
              <w:t>взаимодействие с поставщиком;</w:t>
            </w:r>
          </w:p>
          <w:p w:rsidR="0038141E" w:rsidRPr="00195E64" w:rsidRDefault="00A4228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д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оговорное сопровождение,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учет экономических показателей.</w:t>
            </w:r>
          </w:p>
        </w:tc>
        <w:tc>
          <w:tcPr>
            <w:tcW w:w="709" w:type="dxa"/>
          </w:tcPr>
          <w:p w:rsidR="00467A5F" w:rsidRPr="00DC5BFF" w:rsidRDefault="00105E91" w:rsidP="00105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708" w:type="dxa"/>
          </w:tcPr>
          <w:p w:rsidR="00467A5F" w:rsidRPr="00DC5BFF" w:rsidRDefault="00DC5BFF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B5867" w:rsidRPr="00DC5BFF">
              <w:rPr>
                <w:bCs/>
                <w:sz w:val="20"/>
                <w:szCs w:val="20"/>
              </w:rPr>
              <w:t>5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lastRenderedPageBreak/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3370A0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1)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Бюджетный кодекс Российской Федерации;</w:t>
      </w:r>
      <w:r w:rsidR="00E47AEC" w:rsidRPr="003370A0">
        <w:rPr>
          <w:bCs/>
          <w:sz w:val="26"/>
          <w:szCs w:val="26"/>
        </w:rPr>
        <w:tab/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2)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F63650" w:rsidRPr="003370A0">
        <w:rPr>
          <w:bCs/>
          <w:sz w:val="26"/>
          <w:szCs w:val="26"/>
        </w:rPr>
        <w:t>Гражданский кодекс Российской Федерации;</w:t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3) </w:t>
      </w:r>
      <w:r w:rsidR="00A252C1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 xml:space="preserve"> Налоговый кодекс Российской Федерации;</w:t>
      </w:r>
    </w:p>
    <w:p w:rsidR="00D83821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4)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D83821" w:rsidRPr="003370A0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8D4FF7" w:rsidRPr="003370A0" w:rsidRDefault="00B47844" w:rsidP="008D4F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bCs/>
          <w:sz w:val="26"/>
          <w:szCs w:val="26"/>
        </w:rPr>
        <w:t>5)</w:t>
      </w:r>
      <w:r w:rsidR="005F60DB" w:rsidRPr="0033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6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6)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15.12.2001 № 167-ФЗ «Об обязательном пенсионном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>7)</w:t>
      </w:r>
      <w:r w:rsidR="00A252C1" w:rsidRPr="003370A0">
        <w:rPr>
          <w:bCs/>
          <w:sz w:val="26"/>
          <w:szCs w:val="26"/>
        </w:rPr>
        <w:t xml:space="preserve"> </w:t>
      </w:r>
      <w:r w:rsidRPr="003370A0">
        <w:rPr>
          <w:bCs/>
          <w:sz w:val="26"/>
          <w:szCs w:val="26"/>
        </w:rPr>
        <w:t xml:space="preserve"> </w:t>
      </w:r>
      <w:r w:rsidR="003370A0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8) </w:t>
      </w:r>
      <w:r w:rsidR="00E47AEC" w:rsidRPr="003370A0">
        <w:rPr>
          <w:bCs/>
          <w:sz w:val="26"/>
          <w:szCs w:val="26"/>
        </w:rPr>
        <w:t xml:space="preserve"> </w:t>
      </w:r>
      <w:r w:rsidR="00184600" w:rsidRPr="003370A0">
        <w:rPr>
          <w:bCs/>
          <w:sz w:val="26"/>
          <w:szCs w:val="26"/>
        </w:rPr>
        <w:t xml:space="preserve"> </w:t>
      </w:r>
      <w:r w:rsidR="00DC7238" w:rsidRPr="003370A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9)  </w:t>
      </w:r>
      <w:r w:rsidR="00F65FF5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Федеральный закон от 27.07.2006 № 152-ФЗ «О персональных данных»;</w:t>
      </w:r>
    </w:p>
    <w:p w:rsidR="003370A0" w:rsidRPr="003370A0" w:rsidRDefault="00B47844" w:rsidP="00616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10)</w:t>
      </w:r>
      <w:r w:rsidR="00F65FF5" w:rsidRPr="003370A0">
        <w:rPr>
          <w:rFonts w:ascii="Times New Roman" w:hAnsi="Times New Roman" w:cs="Times New Roman"/>
          <w:sz w:val="26"/>
          <w:szCs w:val="26"/>
        </w:rPr>
        <w:t xml:space="preserve"> </w:t>
      </w:r>
      <w:r w:rsidR="003370A0" w:rsidRPr="003370A0">
        <w:rPr>
          <w:rFonts w:ascii="Times New Roman" w:hAnsi="Times New Roman" w:cs="Times New Roman"/>
          <w:sz w:val="26"/>
          <w:szCs w:val="26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3370A0" w:rsidRPr="003370A0" w:rsidRDefault="00F6365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 xml:space="preserve">11)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12) </w:t>
      </w:r>
      <w:r w:rsidRPr="003370A0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3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 закон  от  26  июля 2006 г. № 135-ФЗ  «О  защите конкуренции»;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4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закон от 06.12.2011 № 402-ФЗ «О бухгалтерском учете»;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>1</w:t>
      </w:r>
      <w:r w:rsidR="0061664D">
        <w:rPr>
          <w:bCs/>
          <w:sz w:val="26"/>
          <w:szCs w:val="26"/>
        </w:rPr>
        <w:t>5</w:t>
      </w:r>
      <w:r w:rsidRPr="003370A0">
        <w:rPr>
          <w:bCs/>
          <w:sz w:val="26"/>
          <w:szCs w:val="26"/>
        </w:rPr>
        <w:t xml:space="preserve">) </w:t>
      </w:r>
      <w:r w:rsidR="0038141E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sectPr w:rsidR="00B47844" w:rsidRPr="003370A0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B3" w:rsidRDefault="00FB0AB3" w:rsidP="00320ED0">
      <w:r>
        <w:separator/>
      </w:r>
    </w:p>
  </w:endnote>
  <w:endnote w:type="continuationSeparator" w:id="0">
    <w:p w:rsidR="00FB0AB3" w:rsidRDefault="00FB0AB3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B3" w:rsidRDefault="00FB0AB3" w:rsidP="00320ED0">
      <w:r>
        <w:separator/>
      </w:r>
    </w:p>
  </w:footnote>
  <w:footnote w:type="continuationSeparator" w:id="0">
    <w:p w:rsidR="00FB0AB3" w:rsidRDefault="00FB0AB3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5E91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81D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2C8F"/>
    <w:rsid w:val="00EC599C"/>
    <w:rsid w:val="00EC6C11"/>
    <w:rsid w:val="00ED3AB4"/>
    <w:rsid w:val="00ED5350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3D28"/>
    <w:rsid w:val="00F97639"/>
    <w:rsid w:val="00FA262D"/>
    <w:rsid w:val="00FA489A"/>
    <w:rsid w:val="00FB0AB3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DEDE4-743C-4668-A058-D71C38D8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3</cp:revision>
  <cp:lastPrinted>2022-01-18T09:33:00Z</cp:lastPrinted>
  <dcterms:created xsi:type="dcterms:W3CDTF">2022-01-18T09:39:00Z</dcterms:created>
  <dcterms:modified xsi:type="dcterms:W3CDTF">2022-01-18T10:37:00Z</dcterms:modified>
</cp:coreProperties>
</file>